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4"/>
        <w:contextualSpacing w:val="0"/>
        <w:ind w:left="40"/>
        <w:jc w:val="center"/>
        <w:spacing w:before="0" w:after="0" w:line="283" w:lineRule="exact"/>
        <w:shd w:val="clear" w:color="auto" w:fill="ffffff" w:themeFill="background1"/>
        <w:rPr>
          <w:b/>
        </w:rPr>
        <w:suppressLineNumbers w:val="0"/>
      </w:pPr>
      <w:r>
        <w:rPr>
          <w:b/>
        </w:rPr>
        <w:t xml:space="preserve">ФОРМА ОБОСНОВАНИЯ НМЦ</w:t>
      </w:r>
      <w:r>
        <w:rPr>
          <w:b/>
        </w:rPr>
      </w:r>
    </w:p>
    <w:p>
      <w:pPr>
        <w:pStyle w:val="624"/>
        <w:contextualSpacing w:val="0"/>
        <w:ind w:left="40"/>
        <w:jc w:val="center"/>
        <w:spacing w:before="0" w:after="0" w:line="283" w:lineRule="exact"/>
        <w:shd w:val="clear" w:color="auto" w:fill="ffffff" w:themeFill="background1"/>
        <w:rPr>
          <w:b/>
          <w:color w:val="000000"/>
        </w:rPr>
        <w:suppressLineNumbers w:val="0"/>
      </w:pPr>
      <w:r>
        <w:rPr>
          <w:b/>
          <w:color w:val="000000"/>
          <w:lang w:eastAsia="ru-RU" w:bidi="ru-RU"/>
        </w:rPr>
        <w:t xml:space="preserve">ОБОСНОВАНИЕ НАЧАЛЬНОЙ (МАКСИМАЛЬНОЙ) ЦЕНЫ ДОГОВОРА /</w:t>
      </w:r>
      <w:r>
        <w:rPr>
          <w:b/>
          <w:color w:val="000000"/>
          <w:lang w:eastAsia="ru-RU" w:bidi="ru-RU"/>
        </w:rPr>
        <w:br/>
        <w:t xml:space="preserve">ЦЕНЫ ЕДИНИЦЫ ТОВАРА, РАБОТЫ, УСЛУГИ</w:t>
      </w:r>
      <w:r>
        <w:rPr>
          <w:b/>
          <w:color w:val="000000"/>
        </w:rPr>
      </w:r>
    </w:p>
    <w:p>
      <w:pPr>
        <w:pStyle w:val="626"/>
        <w:shd w:val="clear" w:color="auto" w:fill="ffffff" w:themeFill="background1"/>
        <w:rPr>
          <w:sz w:val="22"/>
          <w:szCs w:val="22"/>
        </w:rPr>
      </w:pPr>
      <w:r>
        <w:rPr>
          <w:sz w:val="22"/>
          <w:szCs w:val="22"/>
        </w:rPr>
        <w:t xml:space="preserve">1. Общая информация</w:t>
      </w:r>
      <w:r>
        <w:rPr>
          <w:sz w:val="22"/>
          <w:szCs w:val="22"/>
        </w:rPr>
      </w:r>
    </w:p>
    <w:tbl>
      <w:tblPr>
        <w:tblStyle w:val="627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6089"/>
      </w:tblGrid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jc w:val="center"/>
              <w:spacing w:after="100" w:line="244" w:lineRule="exact"/>
              <w:shd w:val="clear" w:color="auto" w:fill="ffffff" w:themeFill="background1"/>
              <w:widowControl w:val="off"/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</w:r>
          </w:p>
          <w:p>
            <w:pPr>
              <w:jc w:val="center"/>
              <w:shd w:val="clear" w:color="auto" w:fill="ffffff" w:themeFill="background1"/>
            </w:pPr>
            <w:r>
              <w:rPr>
                <w:rFonts w:ascii="Times New Roman" w:hAnsi="Times New Roman" w:eastAsia="Courier New" w:cs="Times New Roman"/>
                <w:color w:val="000000"/>
                <w:lang w:eastAsia="ru-RU" w:bidi="ru-RU"/>
              </w:rPr>
              <w:t xml:space="preserve">п/п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630"/>
              <w:ind w:firstLine="0"/>
              <w:jc w:val="center"/>
              <w:spacing w:after="0" w:line="244" w:lineRule="exact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rStyle w:val="629"/>
              </w:rPr>
              <w:t xml:space="preserve">Наименование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089" w:type="dxa"/>
            <w:vAlign w:val="center"/>
            <w:textDirection w:val="lrTb"/>
            <w:noWrap w:val="false"/>
          </w:tcPr>
          <w:p>
            <w:pPr>
              <w:pStyle w:val="630"/>
              <w:ind w:firstLine="0"/>
              <w:jc w:val="center"/>
              <w:spacing w:after="0" w:line="244" w:lineRule="exact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rStyle w:val="629"/>
              </w:rPr>
              <w:t xml:space="preserve">Информация по лоту</w:t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ОКПД2 45.20.21.212 Выполнение работ по ремонту двигателей внутреннего сгорания самоходных машин и транспортных средств структурного подразделения "Хабаровская ТЭЦ-3" г. Хабаровск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343"/>
        </w:trPr>
        <w:tc>
          <w:tcPr>
            <w:tcW w:w="846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лота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11022024-РЕМ ПРОД-2026-ДГК-ХТЭЦ3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  <w:bottom w:val="single" w:color="auto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630"/>
              <w:ind w:firstLine="0"/>
              <w:jc w:val="left"/>
              <w:spacing w:after="0" w:line="244" w:lineRule="exact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rStyle w:val="629"/>
              </w:rPr>
              <w:t xml:space="preserve">3.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630"/>
              <w:ind w:firstLine="0"/>
              <w:jc w:val="left"/>
              <w:spacing w:after="0" w:line="244" w:lineRule="exact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rStyle w:val="629"/>
              </w:rPr>
              <w:t xml:space="preserve">НМЦ лота</w:t>
            </w:r>
            <w:r>
              <w:rPr>
                <w:sz w:val="22"/>
                <w:szCs w:val="22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3 660 653,73 </w:t>
            </w:r>
            <w:r>
              <w:rPr>
                <w:rFonts w:ascii="Times New Roman" w:hAnsi="Times New Roman" w:cs="Times New Roman"/>
              </w:rPr>
              <w:t xml:space="preserve">рублей без учета НДС</w:t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shd w:val="clear" w:color="auto" w:fill="ffffff" w:themeFill="background1"/>
      </w:pPr>
      <w:r/>
      <w:r/>
    </w:p>
    <w:p>
      <w:pPr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проведении запроса ТКП на электронной площадке «РОСЭЛТОРГ» (RH16062600016) получено предложение от </w:t>
      </w:r>
      <w:r>
        <w:rPr>
          <w:rFonts w:ascii="Times New Roman" w:hAnsi="Times New Roman" w:cs="Times New Roman"/>
          <w:shd w:val="clear" w:color="auto" w:fill="ffffff"/>
        </w:rPr>
        <w:t xml:space="preserve">ООО «</w:t>
      </w:r>
      <w:r>
        <w:rPr>
          <w:rFonts w:ascii="Times New Roman" w:hAnsi="Times New Roman" w:cs="Times New Roman"/>
          <w:shd w:val="clear" w:color="auto" w:fill="ffffff"/>
        </w:rPr>
        <w:t xml:space="preserve">Техсервис</w:t>
      </w:r>
      <w:r>
        <w:rPr>
          <w:rFonts w:ascii="Times New Roman" w:hAnsi="Times New Roman" w:cs="Times New Roman"/>
          <w:shd w:val="clear" w:color="auto" w:fill="ffffff"/>
        </w:rPr>
        <w:t xml:space="preserve">-Хабаровск» стоимостью 3 804 960,00 без учета НДС. Для обеспечения конкурентного круга участников, и определен</w:t>
      </w:r>
      <w:bookmarkStart w:id="0" w:name="_GoBack"/>
      <w:r/>
      <w:bookmarkEnd w:id="0"/>
      <w:r>
        <w:rPr>
          <w:rFonts w:ascii="Times New Roman" w:hAnsi="Times New Roman" w:cs="Times New Roman"/>
          <w:shd w:val="clear" w:color="auto" w:fill="ffffff"/>
        </w:rPr>
        <w:t xml:space="preserve">ия НМЦ лота, адресно (посредством эл. почты) направлены запросы мониторинга 2м официальным дилерам. Ответы получены от  ООО «</w:t>
      </w:r>
      <w:r>
        <w:rPr>
          <w:rFonts w:ascii="Times New Roman" w:hAnsi="Times New Roman" w:cs="Times New Roman"/>
          <w:shd w:val="clear" w:color="auto" w:fill="ffffff"/>
        </w:rPr>
        <w:t xml:space="preserve">Транссервис</w:t>
      </w:r>
      <w:r>
        <w:rPr>
          <w:rFonts w:ascii="Times New Roman" w:hAnsi="Times New Roman" w:cs="Times New Roman"/>
          <w:shd w:val="clear" w:color="auto" w:fill="ffffff"/>
        </w:rPr>
        <w:t xml:space="preserve">» стоимостью 3 652 000,00 без учета НДС и ООО «АМУРСЕРВИСТЕХНИКА» стоимостью 3 525 001,20 без учета НДС.</w:t>
      </w:r>
      <w:r>
        <w:rPr>
          <w:rFonts w:ascii="Times New Roman" w:hAnsi="Times New Roman" w:cs="Times New Roman"/>
        </w:rPr>
      </w:r>
    </w:p>
    <w:p>
      <w:pPr>
        <w:shd w:val="clear" w:color="auto" w:fill="ffffff" w:themeFill="background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</w:rPr>
      </w:r>
    </w:p>
    <w:p>
      <w:pPr>
        <w:pStyle w:val="634"/>
        <w:rPr>
          <w:b/>
        </w:rPr>
        <w:pBdr>
          <w:top w:val="none" w:color="000000" w:sz="4" w:space="0"/>
          <w:left w:val="none" w:color="000000" w:sz="4" w:space="21"/>
          <w:bottom w:val="none" w:color="000000" w:sz="4" w:space="0"/>
          <w:right w:val="none" w:color="000000" w:sz="4" w:space="0"/>
        </w:pBdr>
      </w:pPr>
      <w:r>
        <w:rPr>
          <w:b/>
        </w:rPr>
        <w:t xml:space="preserve">Метод анализа технико-коммерческих предложений</w:t>
      </w:r>
      <w:r>
        <w:rPr>
          <w:b/>
        </w:rPr>
      </w:r>
    </w:p>
    <w:p>
      <w:pPr>
        <w:pStyle w:val="634"/>
        <w:spacing w:line="240" w:lineRule="auto"/>
        <w:pBdr>
          <w:top w:val="none" w:color="000000" w:sz="4" w:space="0"/>
          <w:left w:val="none" w:color="000000" w:sz="4" w:space="21"/>
          <w:bottom w:val="none" w:color="000000" w:sz="4" w:space="0"/>
          <w:right w:val="none" w:color="000000" w:sz="4" w:space="0"/>
        </w:pBdr>
      </w:pPr>
      <w:r>
        <w:t xml:space="preserve">Обоснование расчета НМЦ:</w:t>
      </w:r>
      <w:r/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93"/>
        <w:gridCol w:w="2344"/>
        <w:gridCol w:w="1690"/>
        <w:gridCol w:w="2102"/>
        <w:gridCol w:w="1736"/>
      </w:tblGrid>
      <w:tr>
        <w:tblPrEx/>
        <w:trPr/>
        <w:tc>
          <w:tcPr>
            <w:shd w:val="clear" w:color="auto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2193" w:type="dxa"/>
            <w:vAlign w:val="center"/>
            <w:textDirection w:val="lrTb"/>
            <w:noWrap w:val="false"/>
          </w:tcPr>
          <w:p>
            <w:pPr>
              <w:pStyle w:val="636"/>
              <w:spacing w:after="283"/>
              <w:rPr>
                <w:b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</w:rPr>
              <w:t xml:space="preserve">Наименование товара/ работы/ услуги в составе лота</w:t>
            </w:r>
            <w:r>
              <w:rPr>
                <w:b/>
              </w:rPr>
            </w:r>
          </w:p>
        </w:tc>
        <w:tc>
          <w:tcPr>
            <w:shd w:val="clear" w:color="auto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2344" w:type="dxa"/>
            <w:vAlign w:val="center"/>
            <w:textDirection w:val="lrTb"/>
            <w:noWrap w:val="false"/>
          </w:tcPr>
          <w:p>
            <w:pPr>
              <w:pStyle w:val="636"/>
              <w:spacing w:after="283"/>
              <w:rPr>
                <w:b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</w:rPr>
              <w:t xml:space="preserve">Наименование источника ценовой информации (ИЦИ)</w:t>
            </w:r>
            <w:r>
              <w:rPr>
                <w:b/>
              </w:rPr>
            </w:r>
          </w:p>
        </w:tc>
        <w:tc>
          <w:tcPr>
            <w:shd w:val="clear" w:color="auto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1690" w:type="dxa"/>
            <w:vAlign w:val="center"/>
            <w:textDirection w:val="lrTb"/>
            <w:noWrap w:val="false"/>
          </w:tcPr>
          <w:p>
            <w:pPr>
              <w:pStyle w:val="636"/>
              <w:spacing w:after="283"/>
              <w:rPr>
                <w:b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</w:rPr>
              <w:t xml:space="preserve">Цена из соответствующего ИЦИ, в руб. без НДС</w:t>
            </w:r>
            <w:r>
              <w:rPr>
                <w:b/>
              </w:rPr>
            </w:r>
          </w:p>
        </w:tc>
        <w:tc>
          <w:tcPr>
            <w:shd w:val="clear" w:color="auto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2102" w:type="dxa"/>
            <w:vAlign w:val="center"/>
            <w:textDirection w:val="lrTb"/>
            <w:noWrap w:val="false"/>
          </w:tcPr>
          <w:p>
            <w:pPr>
              <w:pStyle w:val="636"/>
              <w:spacing w:after="283"/>
              <w:rPr>
                <w:b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</w:rPr>
              <w:t xml:space="preserve">Цена итоговая, в руб. без НДС</w:t>
            </w:r>
            <w:r>
              <w:rPr>
                <w:b/>
              </w:rPr>
            </w:r>
          </w:p>
        </w:tc>
        <w:tc>
          <w:tcPr>
            <w:shd w:val="clear" w:color="auto" w:fill="e7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1736" w:type="dxa"/>
            <w:vAlign w:val="center"/>
            <w:textDirection w:val="lrTb"/>
            <w:noWrap w:val="false"/>
          </w:tcPr>
          <w:p>
            <w:pPr>
              <w:pStyle w:val="636"/>
              <w:spacing w:after="283"/>
              <w:rPr>
                <w:b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</w:rPr>
              <w:t xml:space="preserve">Комментарии</w:t>
            </w:r>
            <w:r>
              <w:rPr>
                <w:b/>
              </w:rPr>
            </w:r>
          </w:p>
        </w:tc>
      </w:tr>
      <w:tr>
        <w:tblPrEx/>
        <w:trPr>
          <w:trHeight w:val="1408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2193" w:type="dxa"/>
            <w:vAlign w:val="center"/>
            <w:vMerge w:val="restart"/>
            <w:textDirection w:val="lrTb"/>
            <w:noWrap w:val="false"/>
          </w:tcPr>
          <w:p>
            <w:pPr>
              <w:pStyle w:val="636"/>
              <w:spacing w:after="283"/>
              <w:rPr>
                <w:shd w:val="clear" w:color="auto" w:fill="ffffff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</w:rPr>
              <w:t xml:space="preserve">ОКПД2 45.20.21.212 Выполнение работ по ремонту двигателей внутреннего сгорания самоходных машин и транспортных средств структурного подразделения "Хабаровская ТЭЦ-3" г. </w:t>
            </w:r>
            <w:r>
              <w:rPr>
                <w:rFonts w:ascii="Times New Roman" w:hAnsi="Times New Roman" w:cs="Times New Roman"/>
              </w:rPr>
              <w:t xml:space="preserve">Хабаровск</w:t>
            </w:r>
            <w:r>
              <w:rPr>
                <w:shd w:val="clear" w:color="auto" w:fill="ffffff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2344" w:type="dxa"/>
            <w:vAlign w:val="center"/>
            <w:textDirection w:val="lrTb"/>
            <w:noWrap w:val="false"/>
          </w:tcPr>
          <w:p>
            <w:pPr>
              <w:pStyle w:val="636"/>
              <w:spacing w:after="283"/>
              <w:rPr>
                <w:shd w:val="clear" w:color="auto" w:fill="ffffff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hd w:val="clear" w:color="auto" w:fill="ffffff"/>
              </w:rPr>
              <w:t xml:space="preserve">ООО «</w:t>
            </w:r>
            <w:r>
              <w:rPr>
                <w:shd w:val="clear" w:color="auto" w:fill="ffffff"/>
              </w:rPr>
              <w:t xml:space="preserve">Транссервис</w:t>
            </w:r>
            <w:r>
              <w:rPr>
                <w:shd w:val="clear" w:color="auto" w:fill="ffffff"/>
              </w:rPr>
              <w:t xml:space="preserve">»</w:t>
            </w:r>
            <w:r>
              <w:rPr>
                <w:shd w:val="clear" w:color="auto" w:fill="ffffff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1690" w:type="dxa"/>
            <w:vAlign w:val="center"/>
            <w:textDirection w:val="lrTb"/>
            <w:noWrap w:val="false"/>
          </w:tcPr>
          <w:p>
            <w:pPr>
              <w:pStyle w:val="636"/>
              <w:spacing w:after="283"/>
              <w:rPr>
                <w:shd w:val="clear" w:color="auto" w:fill="ffffff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hd w:val="clear" w:color="auto" w:fill="ffffff"/>
              </w:rPr>
              <w:t xml:space="preserve">3 652 000,00</w:t>
            </w:r>
            <w:r>
              <w:rPr>
                <w:shd w:val="clear" w:color="auto" w:fill="ffffff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2102" w:type="dxa"/>
            <w:vAlign w:val="center"/>
            <w:vMerge w:val="restart"/>
            <w:textDirection w:val="lrTb"/>
            <w:noWrap w:val="false"/>
          </w:tcPr>
          <w:p>
            <w:pPr>
              <w:pStyle w:val="636"/>
              <w:spacing w:after="283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Среднее арифметическое значение полученных ТКП:</w:t>
            </w:r>
            <w:r>
              <w:rPr>
                <w:rFonts w:ascii="Times New Roman" w:hAnsi="Times New Roman" w:cs="Times New Roman"/>
              </w:rPr>
              <w:t xml:space="preserve"> 3 660 653,73  </w:t>
            </w:r>
            <w:r>
              <w:t xml:space="preserve"> </w:t>
            </w:r>
            <w:r/>
          </w:p>
          <w:p>
            <w:pPr>
              <w:pStyle w:val="636"/>
              <w:spacing w:after="283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28" w:type="dxa"/>
              <w:right w:w="108" w:type="dxa"/>
              <w:bottom w:w="28" w:type="dxa"/>
            </w:tcMar>
            <w:tcW w:w="1736" w:type="dxa"/>
            <w:vAlign w:val="center"/>
            <w:textDirection w:val="lrTb"/>
            <w:noWrap w:val="false"/>
          </w:tcPr>
          <w:p>
            <w:pPr>
              <w:pStyle w:val="636"/>
              <w:spacing w:after="283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hd w:val="clear" w:color="auto" w:fill="ffffff"/>
              </w:rPr>
              <w:t xml:space="preserve">-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2193" w:type="dxa"/>
            <w:vAlign w:val="center"/>
            <w:vMerge w:val="continue"/>
            <w:textDirection w:val="lrTb"/>
            <w:noWrap w:val="false"/>
          </w:tcPr>
          <w:p>
            <w:pPr>
              <w:pStyle w:val="635"/>
            </w:pPr>
            <w:r/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2344" w:type="dxa"/>
            <w:vAlign w:val="center"/>
            <w:textDirection w:val="lrTb"/>
            <w:noWrap w:val="false"/>
          </w:tcPr>
          <w:p>
            <w:pPr>
              <w:pStyle w:val="636"/>
              <w:spacing w:after="283"/>
              <w:rPr>
                <w:shd w:val="clear" w:color="auto" w:fill="ffffff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hd w:val="clear" w:color="auto" w:fill="ffffff"/>
              </w:rPr>
              <w:t xml:space="preserve">ООО «</w:t>
            </w:r>
            <w:r>
              <w:rPr>
                <w:shd w:val="clear" w:color="auto" w:fill="ffffff"/>
              </w:rPr>
              <w:t xml:space="preserve">Техсервис</w:t>
            </w:r>
            <w:r>
              <w:rPr>
                <w:shd w:val="clear" w:color="auto" w:fill="ffffff"/>
              </w:rPr>
              <w:t xml:space="preserve">-Хабаровск»</w:t>
            </w:r>
            <w:r>
              <w:rPr>
                <w:shd w:val="clear" w:color="auto" w:fill="ffffff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1690" w:type="dxa"/>
            <w:vAlign w:val="center"/>
            <w:textDirection w:val="lrTb"/>
            <w:noWrap w:val="false"/>
          </w:tcPr>
          <w:p>
            <w:pPr>
              <w:pStyle w:val="636"/>
              <w:spacing w:after="283"/>
              <w:rPr>
                <w:shd w:val="clear" w:color="auto" w:fill="ffffff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hd w:val="clear" w:color="auto" w:fill="ffffff"/>
              </w:rPr>
              <w:t xml:space="preserve">3 804 960,00</w:t>
            </w:r>
            <w:r>
              <w:rPr>
                <w:shd w:val="clear" w:color="auto" w:fill="ffffff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2102" w:type="dxa"/>
            <w:vAlign w:val="center"/>
            <w:vMerge w:val="continue"/>
            <w:textDirection w:val="lrTb"/>
            <w:noWrap w:val="false"/>
          </w:tcPr>
          <w:p>
            <w:pPr>
              <w:pStyle w:val="635"/>
            </w:pPr>
            <w:r/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28" w:type="dxa"/>
              <w:right w:w="108" w:type="dxa"/>
              <w:bottom w:w="28" w:type="dxa"/>
            </w:tcMar>
            <w:tcW w:w="1736" w:type="dxa"/>
            <w:vAlign w:val="center"/>
            <w:textDirection w:val="lrTb"/>
            <w:noWrap w:val="false"/>
          </w:tcPr>
          <w:p>
            <w:pPr>
              <w:pStyle w:val="636"/>
              <w:spacing w:after="283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hd w:val="clear" w:color="auto" w:fill="ffffff"/>
              </w:rPr>
              <w:t xml:space="preserve">- </w:t>
            </w:r>
            <w:r/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2193" w:type="dxa"/>
            <w:vAlign w:val="center"/>
            <w:vMerge w:val="continue"/>
            <w:textDirection w:val="lrTb"/>
            <w:noWrap w:val="false"/>
          </w:tcPr>
          <w:p>
            <w:pPr>
              <w:pStyle w:val="635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2344" w:type="dxa"/>
            <w:vAlign w:val="center"/>
            <w:textDirection w:val="lrTb"/>
            <w:noWrap w:val="false"/>
          </w:tcPr>
          <w:p>
            <w:pPr>
              <w:pStyle w:val="636"/>
              <w:spacing w:after="283"/>
              <w:rPr>
                <w:shd w:val="clear" w:color="auto" w:fill="ffffff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hd w:val="clear" w:color="auto" w:fill="ffffff"/>
              </w:rPr>
              <w:t xml:space="preserve">ООО «АМУРСЕРВИСТЕХНИКА»</w:t>
            </w:r>
            <w:r>
              <w:rPr>
                <w:shd w:val="clear" w:color="auto" w:fill="ffffff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1690" w:type="dxa"/>
            <w:vAlign w:val="center"/>
            <w:textDirection w:val="lrTb"/>
            <w:noWrap w:val="false"/>
          </w:tcPr>
          <w:p>
            <w:pPr>
              <w:pStyle w:val="636"/>
              <w:spacing w:after="283"/>
              <w:rPr>
                <w:shd w:val="clear" w:color="auto" w:fill="ffffff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hd w:val="clear" w:color="auto" w:fill="ffffff"/>
              </w:rPr>
              <w:t xml:space="preserve">3 525 001,20</w:t>
            </w:r>
            <w:r>
              <w:rPr>
                <w:shd w:val="clear" w:color="auto" w:fill="ffffff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2102" w:type="dxa"/>
            <w:vAlign w:val="center"/>
            <w:vMerge w:val="continue"/>
            <w:textDirection w:val="lrTb"/>
            <w:noWrap w:val="false"/>
          </w:tcPr>
          <w:p>
            <w:pPr>
              <w:pStyle w:val="635"/>
            </w:pPr>
            <w:r/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28" w:type="dxa"/>
              <w:right w:w="108" w:type="dxa"/>
              <w:bottom w:w="28" w:type="dxa"/>
            </w:tcMar>
            <w:tcW w:w="1736" w:type="dxa"/>
            <w:vAlign w:val="center"/>
            <w:textDirection w:val="lrTb"/>
            <w:noWrap w:val="false"/>
          </w:tcPr>
          <w:p>
            <w:pPr>
              <w:pStyle w:val="636"/>
              <w:spacing w:after="283"/>
              <w:rPr>
                <w:shd w:val="clear" w:color="auto" w:fill="ffffff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</w:tc>
      </w:tr>
    </w:tbl>
    <w:p>
      <w:pPr>
        <w:spacing w:after="293" w:line="244" w:lineRule="exact"/>
        <w:shd w:val="clear" w:color="auto" w:fill="ffffff" w:themeFill="background1"/>
        <w:widowControl w:val="off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</w:p>
    <w:p>
      <w:pPr>
        <w:ind w:left="4253" w:hanging="3260"/>
        <w:spacing w:after="293" w:line="244" w:lineRule="exact"/>
        <w:shd w:val="clear" w:color="auto" w:fill="ffffff" w:themeFill="background1"/>
        <w:widowControl w:val="off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object w:dxaOrig="8925" w:dyaOrig="12631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446.25pt;height:631.25pt;mso-wrap-distance-left:0.00pt;mso-wrap-distance-top:0.00pt;mso-wrap-distance-right:0.00pt;mso-wrap-distance-bottom:0.00pt;" filled="f" stroked="f">
            <v:path textboxrect="0,0,0,0"/>
            <v:imagedata r:id="rId10" o:title=""/>
          </v:shape>
          <o:OLEObject DrawAspect="Content" ObjectID="_1525040" ProgID="AcroExch.Document.DC" ShapeID="_x0000_i0" Type="Embed"/>
        </w:objec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Lohit Devanagari">
    <w:panose1 w:val="020B0600000000000000"/>
  </w:font>
  <w:font w:name="Tahoma">
    <w:panose1 w:val="020B0604030504040204"/>
  </w:font>
  <w:font w:name="Tempora LGC Uni">
    <w:panose1 w:val="020206030504050203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5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9"/>
    <w:next w:val="61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9"/>
    <w:next w:val="61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9"/>
    <w:next w:val="61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9"/>
    <w:next w:val="61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9"/>
    <w:next w:val="61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9"/>
    <w:next w:val="61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9"/>
    <w:next w:val="61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9"/>
    <w:next w:val="61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9"/>
    <w:next w:val="61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9"/>
    <w:next w:val="61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0"/>
    <w:link w:val="34"/>
    <w:uiPriority w:val="10"/>
    <w:rPr>
      <w:sz w:val="48"/>
      <w:szCs w:val="48"/>
    </w:rPr>
  </w:style>
  <w:style w:type="paragraph" w:styleId="36">
    <w:name w:val="Subtitle"/>
    <w:basedOn w:val="619"/>
    <w:next w:val="61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0"/>
    <w:link w:val="36"/>
    <w:uiPriority w:val="11"/>
    <w:rPr>
      <w:sz w:val="24"/>
      <w:szCs w:val="24"/>
    </w:rPr>
  </w:style>
  <w:style w:type="paragraph" w:styleId="38">
    <w:name w:val="Quote"/>
    <w:basedOn w:val="619"/>
    <w:next w:val="61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9"/>
    <w:next w:val="61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0"/>
    <w:link w:val="42"/>
    <w:uiPriority w:val="99"/>
  </w:style>
  <w:style w:type="paragraph" w:styleId="44">
    <w:name w:val="Footer"/>
    <w:basedOn w:val="619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0"/>
    <w:link w:val="44"/>
    <w:uiPriority w:val="99"/>
  </w:style>
  <w:style w:type="character" w:styleId="47">
    <w:name w:val="Caption Char"/>
    <w:basedOn w:val="620"/>
    <w:link w:val="633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0"/>
    <w:uiPriority w:val="99"/>
    <w:unhideWhenUsed/>
    <w:rPr>
      <w:vertAlign w:val="superscript"/>
    </w:rPr>
  </w:style>
  <w:style w:type="paragraph" w:styleId="178">
    <w:name w:val="endnote text"/>
    <w:basedOn w:val="61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0"/>
    <w:uiPriority w:val="99"/>
    <w:semiHidden/>
    <w:unhideWhenUsed/>
    <w:rPr>
      <w:vertAlign w:val="superscript"/>
    </w:rPr>
  </w:style>
  <w:style w:type="paragraph" w:styleId="181">
    <w:name w:val="toc 1"/>
    <w:basedOn w:val="619"/>
    <w:next w:val="61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9"/>
    <w:next w:val="61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9"/>
    <w:next w:val="61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9"/>
    <w:next w:val="61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9"/>
    <w:next w:val="61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9"/>
    <w:next w:val="61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9"/>
    <w:next w:val="61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9"/>
    <w:next w:val="61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9"/>
    <w:next w:val="61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9"/>
    <w:next w:val="619"/>
    <w:uiPriority w:val="99"/>
    <w:unhideWhenUsed/>
    <w:pPr>
      <w:spacing w:after="0" w:afterAutospacing="0"/>
    </w:pPr>
  </w:style>
  <w:style w:type="paragraph" w:styleId="619" w:default="1">
    <w:name w:val="Normal"/>
    <w:qFormat/>
  </w:style>
  <w:style w:type="character" w:styleId="620" w:default="1">
    <w:name w:val="Default Paragraph Font"/>
    <w:uiPriority w:val="1"/>
    <w:semiHidden/>
    <w:unhideWhenUsed/>
  </w:style>
  <w:style w:type="table" w:styleId="6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2" w:default="1">
    <w:name w:val="No List"/>
    <w:uiPriority w:val="99"/>
    <w:semiHidden/>
    <w:unhideWhenUsed/>
  </w:style>
  <w:style w:type="character" w:styleId="623" w:customStyle="1">
    <w:name w:val="Основной текст (14)_"/>
    <w:basedOn w:val="620"/>
    <w:link w:val="624"/>
    <w:rPr>
      <w:rFonts w:ascii="Times New Roman" w:hAnsi="Times New Roman" w:eastAsia="Times New Roman" w:cs="Times New Roman"/>
      <w:shd w:val="clear" w:color="auto" w:fill="ffffff"/>
    </w:rPr>
  </w:style>
  <w:style w:type="paragraph" w:styleId="624" w:customStyle="1">
    <w:name w:val="Основной текст (14)"/>
    <w:basedOn w:val="619"/>
    <w:link w:val="623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625" w:customStyle="1">
    <w:name w:val="Подпись к таблице (2)_"/>
    <w:basedOn w:val="620"/>
    <w:link w:val="626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626" w:customStyle="1">
    <w:name w:val="Подпись к таблице (2)"/>
    <w:basedOn w:val="619"/>
    <w:link w:val="625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627">
    <w:name w:val="Table Grid"/>
    <w:basedOn w:val="62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28" w:customStyle="1">
    <w:name w:val="Основной текст (2)_"/>
    <w:basedOn w:val="620"/>
    <w:link w:val="630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629" w:customStyle="1">
    <w:name w:val="Основной текст (2) + 11 pt"/>
    <w:basedOn w:val="628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630" w:customStyle="1">
    <w:name w:val="Основной текст (2)"/>
    <w:basedOn w:val="619"/>
    <w:link w:val="628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paragraph" w:styleId="631">
    <w:name w:val="List Paragraph"/>
    <w:basedOn w:val="619"/>
    <w:uiPriority w:val="34"/>
    <w:qFormat/>
    <w:pPr>
      <w:contextualSpacing/>
      <w:ind w:left="720"/>
    </w:pPr>
  </w:style>
  <w:style w:type="character" w:styleId="632">
    <w:name w:val="Hyperlink"/>
    <w:basedOn w:val="620"/>
    <w:uiPriority w:val="99"/>
    <w:unhideWhenUsed/>
    <w:rPr>
      <w:color w:val="0563c1" w:themeColor="hyperlink"/>
      <w:u w:val="single"/>
    </w:rPr>
  </w:style>
  <w:style w:type="paragraph" w:styleId="633">
    <w:name w:val="Caption"/>
    <w:basedOn w:val="619"/>
    <w:next w:val="619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634" w:customStyle="1">
    <w:name w:val="Text body"/>
    <w:basedOn w:val="619"/>
    <w:qFormat/>
    <w:pPr>
      <w:spacing w:after="140" w:line="276" w:lineRule="auto"/>
    </w:pPr>
    <w:rPr>
      <w:rFonts w:ascii="Tempora LGC Uni" w:hAnsi="Tempora LGC Uni" w:eastAsia="Tahoma" w:cs="Lohit Devanagari"/>
      <w:sz w:val="24"/>
      <w:szCs w:val="24"/>
      <w:lang w:eastAsia="zh-CN" w:bidi="hi-IN"/>
    </w:rPr>
  </w:style>
  <w:style w:type="paragraph" w:styleId="635" w:customStyle="1">
    <w:name w:val="DStyle_paragraph"/>
    <w:pPr>
      <w:spacing w:after="0" w:line="240" w:lineRule="auto"/>
    </w:pPr>
    <w:rPr>
      <w:rFonts w:ascii="Tempora LGC Uni" w:hAnsi="Tempora LGC Uni" w:eastAsia="Tahoma" w:cs="Lohit Devanagari"/>
      <w:sz w:val="24"/>
      <w:szCs w:val="24"/>
      <w:lang w:eastAsia="zh-CN" w:bidi="hi-IN"/>
    </w:rPr>
  </w:style>
  <w:style w:type="paragraph" w:styleId="636" w:customStyle="1">
    <w:name w:val="Table Contents"/>
    <w:basedOn w:val="619"/>
    <w:qFormat/>
    <w:pPr>
      <w:spacing w:after="0" w:line="240" w:lineRule="auto"/>
      <w:widowControl w:val="off"/>
    </w:pPr>
    <w:rPr>
      <w:rFonts w:ascii="Tempora LGC Uni" w:hAnsi="Tempora LGC Uni" w:eastAsia="Tahoma" w:cs="Lohit Devanagari"/>
      <w:sz w:val="24"/>
      <w:szCs w:val="24"/>
      <w:lang w:eastAsia="zh-CN" w:bidi="hi-I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emf"/><Relationship Id="rId11" Type="http://schemas.openxmlformats.org/officeDocument/2006/relationships/image" Target="media/media1.sv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1D60E-9736-45EA-B2E7-6ECFDE44E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cp:keywords/>
  <dc:description/>
  <cp:lastModifiedBy>nikitina_nv</cp:lastModifiedBy>
  <cp:revision>59</cp:revision>
  <dcterms:created xsi:type="dcterms:W3CDTF">2021-07-07T07:07:00Z</dcterms:created>
  <dcterms:modified xsi:type="dcterms:W3CDTF">2026-07-08T02:19:26Z</dcterms:modified>
</cp:coreProperties>
</file>